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B7" w:rsidRDefault="00B961B7" w:rsidP="00B961B7">
      <w:pPr>
        <w:spacing w:line="360" w:lineRule="auto"/>
      </w:pPr>
      <w:proofErr w:type="gramStart"/>
      <w:r>
        <w:t xml:space="preserve">Supplementary </w:t>
      </w:r>
      <w:r>
        <w:t xml:space="preserve">Figure </w:t>
      </w:r>
      <w:r>
        <w:t>1</w:t>
      </w:r>
      <w:r>
        <w:t>.</w:t>
      </w:r>
      <w:proofErr w:type="gramEnd"/>
      <w:r>
        <w:t xml:space="preserve"> Cumulative incidence of solid cancer and corresponding competing risk of death in patients treated with </w:t>
      </w:r>
      <w:proofErr w:type="spellStart"/>
      <w:r>
        <w:t>anthracycline</w:t>
      </w:r>
      <w:proofErr w:type="spellEnd"/>
      <w:r>
        <w:t xml:space="preserve">-based (solid and dotted lines, respectively) vs. </w:t>
      </w:r>
      <w:proofErr w:type="spellStart"/>
      <w:r>
        <w:t>bendamustine</w:t>
      </w:r>
      <w:proofErr w:type="spellEnd"/>
      <w:r>
        <w:t>-based regimens (dashed and dot-dashed lines, respectively). Incidence point estimates, confidence intervals and p values are in Table 3</w:t>
      </w:r>
      <w:r>
        <w:t xml:space="preserve"> in the manuscript.</w:t>
      </w:r>
    </w:p>
    <w:p w:rsidR="00B961B7" w:rsidRDefault="00B961B7" w:rsidP="00B961B7">
      <w:pPr>
        <w:spacing w:line="360" w:lineRule="auto"/>
      </w:pPr>
    </w:p>
    <w:p w:rsidR="00B961B7" w:rsidRDefault="00B961B7" w:rsidP="00B961B7">
      <w:pPr>
        <w:spacing w:line="360" w:lineRule="auto"/>
      </w:pPr>
      <w:r>
        <w:rPr>
          <w:noProof/>
          <w:lang w:val="es-ES"/>
        </w:rPr>
        <w:drawing>
          <wp:inline distT="0" distB="0" distL="0" distR="0">
            <wp:extent cx="5932805" cy="4646295"/>
            <wp:effectExtent l="0" t="0" r="0" b="1905"/>
            <wp:docPr id="3" name="Imagen 3" descr="C:\Users\52599826E\Desktop\fig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52599826E\Desktop\fig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64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B7" w:rsidRDefault="00B961B7" w:rsidP="00B961B7">
      <w:pPr>
        <w:spacing w:line="360" w:lineRule="auto"/>
      </w:pPr>
    </w:p>
    <w:p w:rsidR="00B961B7" w:rsidRDefault="00B961B7">
      <w:pPr>
        <w:spacing w:after="200"/>
      </w:pPr>
      <w:r>
        <w:br w:type="page"/>
      </w:r>
    </w:p>
    <w:p w:rsidR="00B961B7" w:rsidRDefault="00B961B7" w:rsidP="00B961B7">
      <w:pPr>
        <w:spacing w:line="360" w:lineRule="auto"/>
      </w:pPr>
      <w:proofErr w:type="gramStart"/>
      <w:r>
        <w:lastRenderedPageBreak/>
        <w:t xml:space="preserve">Supplementary Figure </w:t>
      </w:r>
      <w:r>
        <w:t>2</w:t>
      </w:r>
      <w:r>
        <w:t>.</w:t>
      </w:r>
      <w:proofErr w:type="gramEnd"/>
      <w:r>
        <w:t xml:space="preserve"> Cumulative incidence of solid cancer (solid line) and of the competing risk of death (broken line) for patients who received 0, 1, 2 and 3 or more lines of therapy (panel A to D, respectively). Follow-up starts at the time of the last line of therapy before incident solid cancer. The panel shows the point estimates and 95% confidence intervals for each group.</w:t>
      </w:r>
    </w:p>
    <w:p w:rsidR="00DC6138" w:rsidRDefault="00DC6138" w:rsidP="00B961B7">
      <w:pPr>
        <w:spacing w:line="360" w:lineRule="auto"/>
      </w:pPr>
      <w:bookmarkStart w:id="0" w:name="_GoBack"/>
      <w:bookmarkEnd w:id="0"/>
    </w:p>
    <w:p w:rsidR="00B961B7" w:rsidRDefault="00B961B7" w:rsidP="00B961B7">
      <w:pPr>
        <w:spacing w:line="360" w:lineRule="auto"/>
        <w:jc w:val="both"/>
        <w:rPr>
          <w:sz w:val="24"/>
        </w:rPr>
      </w:pPr>
      <w:r>
        <w:rPr>
          <w:noProof/>
          <w:lang w:val="es-ES"/>
        </w:rPr>
        <w:drawing>
          <wp:inline distT="0" distB="0" distL="0" distR="0" wp14:anchorId="21F77E17" wp14:editId="2EAD00AA">
            <wp:extent cx="5943600" cy="4625340"/>
            <wp:effectExtent l="0" t="0" r="0" b="3810"/>
            <wp:docPr id="4" name="Imagen 4" descr="C:\Users\52599826E\Desktop\fig_3a-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52599826E\Desktop\fig_3a-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2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1B7" w:rsidRDefault="00B961B7">
      <w:pPr>
        <w:spacing w:after="200"/>
      </w:pPr>
      <w:r>
        <w:br w:type="page"/>
      </w:r>
    </w:p>
    <w:p w:rsidR="00B961B7" w:rsidRDefault="00B961B7" w:rsidP="00B961B7">
      <w:pPr>
        <w:spacing w:line="360" w:lineRule="auto"/>
        <w:jc w:val="both"/>
      </w:pPr>
      <w:proofErr w:type="gramStart"/>
      <w:r>
        <w:lastRenderedPageBreak/>
        <w:t xml:space="preserve">Panel to </w:t>
      </w:r>
      <w:r>
        <w:t xml:space="preserve">supplementary </w:t>
      </w:r>
      <w:r>
        <w:t xml:space="preserve">figure </w:t>
      </w:r>
      <w:r>
        <w:t>2</w:t>
      </w:r>
      <w:r>
        <w:t>.</w:t>
      </w:r>
      <w:proofErr w:type="gramEnd"/>
      <w:r>
        <w:t xml:space="preserve"> Five-year (95% CI) cumulative incidence of solid cancer and competing risk of death</w:t>
      </w: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4"/>
        <w:gridCol w:w="2593"/>
        <w:gridCol w:w="3223"/>
      </w:tblGrid>
      <w:tr w:rsidR="00B961B7" w:rsidTr="00B961B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Solid cancer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Competing risk of death</w:t>
            </w:r>
          </w:p>
        </w:tc>
      </w:tr>
      <w:tr w:rsidR="00B961B7" w:rsidTr="00B961B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 lines of therapy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12.7% (4.5%-25.4%)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22.6% (11.7%-35.5%)</w:t>
            </w:r>
          </w:p>
        </w:tc>
      </w:tr>
      <w:tr w:rsidR="00B961B7" w:rsidTr="00B961B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line of therapy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6.4% (4.4%-8.9%)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12.2% (9.4%-15.3%)</w:t>
            </w:r>
          </w:p>
        </w:tc>
      </w:tr>
      <w:tr w:rsidR="00B961B7" w:rsidTr="00B961B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lines of therapy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2.7% (1%-5.9%)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38.7% (31.4%-46%</w:t>
            </w:r>
          </w:p>
        </w:tc>
      </w:tr>
      <w:tr w:rsidR="00B961B7" w:rsidTr="00B961B7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3+ lines of therapy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8% (3.4%-15.1%)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1B7" w:rsidRDefault="00B961B7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45.4% (34.9%-55.2%)</w:t>
            </w:r>
          </w:p>
        </w:tc>
      </w:tr>
    </w:tbl>
    <w:p w:rsidR="00B961B7" w:rsidRDefault="00B961B7" w:rsidP="00B961B7">
      <w:pPr>
        <w:spacing w:line="360" w:lineRule="auto"/>
        <w:jc w:val="both"/>
      </w:pPr>
      <w:r>
        <w:t>NB: Patients receiving 0 lines of therapy were older than patients receiving any treatment (median age at diagnosis in patients who received 0, 1, 2 and 3 or more lines of therapy: 66, 61, 58 and 56).</w:t>
      </w:r>
    </w:p>
    <w:p w:rsidR="00B961B7" w:rsidRDefault="00B961B7" w:rsidP="00B961B7">
      <w:pPr>
        <w:rPr>
          <w:sz w:val="24"/>
        </w:rPr>
      </w:pPr>
    </w:p>
    <w:p w:rsidR="00AA5232" w:rsidRPr="00B961B7" w:rsidRDefault="00AA5232" w:rsidP="00B961B7"/>
    <w:sectPr w:rsidR="00AA5232" w:rsidRPr="00B961B7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3F" w:rsidRDefault="00DC61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3</w:t>
    </w:r>
    <w:r>
      <w:rPr>
        <w:color w:val="000000"/>
      </w:rPr>
      <w:fldChar w:fldCharType="end"/>
    </w:r>
  </w:p>
  <w:p w:rsidR="00DA673F" w:rsidRDefault="00DC61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1B7"/>
    <w:rsid w:val="00AA5232"/>
    <w:rsid w:val="00B961B7"/>
    <w:rsid w:val="00DC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961B7"/>
    <w:pPr>
      <w:spacing w:after="0"/>
    </w:pPr>
    <w:rPr>
      <w:rFonts w:ascii="Arial" w:eastAsia="Arial" w:hAnsi="Arial" w:cs="Arial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961B7"/>
    <w:pPr>
      <w:spacing w:line="240" w:lineRule="auto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1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961B7"/>
    <w:pPr>
      <w:spacing w:after="0"/>
    </w:pPr>
    <w:rPr>
      <w:rFonts w:ascii="Arial" w:eastAsia="Arial" w:hAnsi="Arial" w:cs="Arial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961B7"/>
    <w:pPr>
      <w:spacing w:line="240" w:lineRule="auto"/>
    </w:pPr>
    <w:rPr>
      <w:rFonts w:ascii="Tahoma" w:eastAsiaTheme="minorHAns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 RODRIGUEZ HERNANDEZ</dc:creator>
  <cp:lastModifiedBy>AGNES RODRIGUEZ HERNANDEZ</cp:lastModifiedBy>
  <cp:revision>2</cp:revision>
  <dcterms:created xsi:type="dcterms:W3CDTF">2019-07-03T15:51:00Z</dcterms:created>
  <dcterms:modified xsi:type="dcterms:W3CDTF">2019-07-03T15:54:00Z</dcterms:modified>
</cp:coreProperties>
</file>